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u8vyc4gcvk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PingOne Verify Best Practices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4y3n77gnejg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Key Benefits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optimizes the usage of PingOne Verify for enhanced security, operational efficiency, and regulatory compliance. It helps prevent fraud by detecting deepfakes, tampered documents, and synthetic identities; minimizes user friction through seamless, automated verification flows; and strengthens compliance by supporting Know Your Customer (KYC) and Anti-Money Laundering (AML) requirements.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more details, refer to the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u w:val="single"/>
            <w:rtl w:val="0"/>
          </w:rPr>
          <w:t xml:space="preserve">Introduction to PingOne Verify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9ezyrcre8uh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Objectives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recommend best practices for configuring, implementing, and monitoring PingOne Verify, ensuring secure identity verification, efficient workflows, accurate results, compliance with regulations, and an optimal user experience.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faae09w6xzr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 and Audience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Purpose</w:t>
      </w:r>
      <w:r w:rsidDel="00000000" w:rsidR="00000000" w:rsidRPr="00000000">
        <w:rPr>
          <w:rtl w:val="0"/>
        </w:rPr>
        <w:t xml:space="preserve">: To improve the implementation, configuration, and ongoing management of PingOne Verify for robust identity verification processes.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Audience</w:t>
      </w:r>
      <w:r w:rsidDel="00000000" w:rsidR="00000000" w:rsidRPr="00000000">
        <w:rPr>
          <w:rtl w:val="0"/>
        </w:rPr>
        <w:t xml:space="preserve">: Administrators, developers, security teams, and any users involved in setting up or managing identity verification in PingOne environments.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fouwppat7gc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the Kit Covers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kit covers best practices in the following areas: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Security configurations and role management.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Verification flow design for risk-based escalation.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Accuracy improvement techniques to handle false positives and negatives.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Compliance strategies for data handling and retention.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Monitoring and auditing for operational oversight.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User experience optimizations to reduce friction.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898efhcvqq9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Prerequisites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implementing these best practices, ensure you have: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 PingOne account with at least one environment that includes the PingOne Verify service. (Refer to </w:t>
      </w:r>
      <w:hyperlink r:id="rId8">
        <w:r w:rsidDel="00000000" w:rsidR="00000000" w:rsidRPr="00000000">
          <w:rPr>
            <w:u w:val="single"/>
            <w:rtl w:val="0"/>
          </w:rPr>
          <w:t xml:space="preserve">Starting a PingOne Trial</w:t>
        </w:r>
      </w:hyperlink>
      <w:r w:rsidDel="00000000" w:rsidR="00000000" w:rsidRPr="00000000">
        <w:rPr>
          <w:rtl w:val="0"/>
        </w:rPr>
        <w:t xml:space="preserve"> if needed.)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 configured PingOne Verify policy. (See </w:t>
      </w:r>
      <w:hyperlink r:id="rId9">
        <w:r w:rsidDel="00000000" w:rsidR="00000000" w:rsidRPr="00000000">
          <w:rPr>
            <w:u w:val="single"/>
            <w:rtl w:val="0"/>
          </w:rPr>
          <w:t xml:space="preserve">Creating a Verify Policy</w:t>
        </w:r>
      </w:hyperlink>
      <w:r w:rsidDel="00000000" w:rsidR="00000000" w:rsidRPr="00000000">
        <w:rPr>
          <w:rtl w:val="0"/>
        </w:rPr>
        <w:t xml:space="preserve">.)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Familiarity with PingOne APIs and admin console for integrations like PingFederate, DaVinci flows, or direct API calls.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setup instructions, refer to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u w:val="single"/>
            <w:rtl w:val="0"/>
          </w:rPr>
          <w:t xml:space="preserve">Getting Started with PingOne Verify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q22cbubk0mr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Deliverables</w:t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 comprehensive checklist of best practices for PingOne Verify.</w:t>
      </w:r>
    </w:p>
    <w:p w:rsidR="00000000" w:rsidDel="00000000" w:rsidP="00000000" w:rsidRDefault="00000000" w:rsidRPr="00000000" w14:paraId="0000001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Detailed steps for implementation in each category.</w:t>
      </w:r>
    </w:p>
    <w:p w:rsidR="00000000" w:rsidDel="00000000" w:rsidP="00000000" w:rsidRDefault="00000000" w:rsidRPr="00000000" w14:paraId="0000001B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Links to official sub-topic documentation for further reference.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kkos7ehfdt5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Best Practices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w5kj5keewex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Flow Design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Design verification flows starting with low-friction methods and escalating for high-risk scenarios. Detailed steps: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Start with Data-Based Verification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0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Enable US Data-Based Identity Verification in the Verify Policy (set Threshold to Low/Medium/High for fraud assessment).</w:t>
      </w:r>
    </w:p>
    <w:p w:rsidR="00000000" w:rsidDel="00000000" w:rsidP="00000000" w:rsidRDefault="00000000" w:rsidRPr="00000000" w14:paraId="0000002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Validate user-provided data against authoritative sources as an initial checkpoint.</w:t>
      </w:r>
    </w:p>
    <w:p w:rsidR="00000000" w:rsidDel="00000000" w:rsidP="00000000" w:rsidRDefault="00000000" w:rsidRPr="00000000" w14:paraId="00000022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12">
        <w:r w:rsidDel="00000000" w:rsidR="00000000" w:rsidRPr="00000000">
          <w:rPr>
            <w:u w:val="single"/>
            <w:rtl w:val="0"/>
          </w:rPr>
          <w:t xml:space="preserve">PingOne Verify and Data-Based Verification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Escalate to Document and Biometrics for High-Risk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4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If data-based fails or risk is high, require Government ID verification (e.g., driver license or passport) with Automatic, Manual, or Step-Up Inspection Type.</w:t>
      </w:r>
    </w:p>
    <w:p w:rsidR="00000000" w:rsidDel="00000000" w:rsidP="00000000" w:rsidRDefault="00000000" w:rsidRPr="00000000" w14:paraId="00000025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Add Facial Comparison and Liveness checks (set to Required for high-risk).</w:t>
      </w:r>
    </w:p>
    <w:p w:rsidR="00000000" w:rsidDel="00000000" w:rsidP="00000000" w:rsidRDefault="00000000" w:rsidRPr="00000000" w14:paraId="00000026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Integrate into authentication journeys using PingOne DaVinci flows or API triggers.</w:t>
      </w:r>
    </w:p>
    <w:p w:rsidR="00000000" w:rsidDel="00000000" w:rsidP="00000000" w:rsidRDefault="00000000" w:rsidRPr="00000000" w14:paraId="00000027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13">
        <w:r w:rsidDel="00000000" w:rsidR="00000000" w:rsidRPr="00000000">
          <w:rPr>
            <w:u w:val="single"/>
            <w:rtl w:val="0"/>
          </w:rPr>
          <w:t xml:space="preserve">PingOne Verify Types of Verification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Trigger Transactions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9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Use PingFederate, DaVinci flows, or direct API calls to initiate transactions (e.g., generate QR code for mobile flow).</w:t>
      </w:r>
    </w:p>
    <w:p w:rsidR="00000000" w:rsidDel="00000000" w:rsidP="00000000" w:rsidRDefault="00000000" w:rsidRPr="00000000" w14:paraId="0000002A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Set Transaction Timeout (max 30 minutes) and Data Collection Timeout (default 15 minutes).</w:t>
      </w:r>
    </w:p>
    <w:p w:rsidR="00000000" w:rsidDel="00000000" w:rsidP="00000000" w:rsidRDefault="00000000" w:rsidRPr="00000000" w14:paraId="0000002B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14">
        <w:r w:rsidDel="00000000" w:rsidR="00000000" w:rsidRPr="00000000">
          <w:rPr>
            <w:u w:val="single"/>
            <w:rtl w:val="0"/>
          </w:rPr>
          <w:t xml:space="preserve">PingOne Verify Transaction Flow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Progressive Flow Example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Low-risk: Data-based + Email/Phone OTP.</w:t>
      </w:r>
    </w:p>
    <w:p w:rsidR="00000000" w:rsidDel="00000000" w:rsidP="00000000" w:rsidRDefault="00000000" w:rsidRPr="00000000" w14:paraId="0000002E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High-risk: Add Government ID + Selfie with Liveness.</w:t>
      </w:r>
    </w:p>
    <w:p w:rsidR="00000000" w:rsidDel="00000000" w:rsidP="00000000" w:rsidRDefault="00000000" w:rsidRPr="00000000" w14:paraId="0000002F">
      <w:pPr>
        <w:numPr>
          <w:ilvl w:val="1"/>
          <w:numId w:val="12"/>
        </w:numPr>
        <w:spacing w:after="24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15">
        <w:r w:rsidDel="00000000" w:rsidR="00000000" w:rsidRPr="00000000">
          <w:rPr>
            <w:u w:val="single"/>
            <w:rtl w:val="0"/>
          </w:rPr>
          <w:t xml:space="preserve">Use PingOne Verify for Identity Verification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Checklist: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Data-based as the first step.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Escalation to biometrics for high-risk.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Flows integrated via API or DaVinci.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configuration, see</w:t>
      </w:r>
      <w:hyperlink r:id="rId16">
        <w:r w:rsidDel="00000000" w:rsidR="00000000" w:rsidRPr="00000000">
          <w:rPr>
            <w:rtl w:val="0"/>
          </w:rPr>
          <w:t xml:space="preserve"> </w:t>
        </w:r>
      </w:hyperlink>
      <w:hyperlink r:id="rId17">
        <w:r w:rsidDel="00000000" w:rsidR="00000000" w:rsidRPr="00000000">
          <w:rPr>
            <w:u w:val="single"/>
            <w:rtl w:val="0"/>
          </w:rPr>
          <w:t xml:space="preserve">Creating a Verify Policy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k6sxhg2u8ky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Accuracy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Handle false positives and negatives by adjusting thresholds and using step-up authentication. Detailed steps: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Adjust Thresholds for Matching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In Verify Policy, set Facial Comparison and Liveness Thresholds to Low/Medium/High (higher reduces false positives but may increase negatives).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For Identity Data Matching, set Confidence Threshold per attribute (e.g., Name, Date of Birth).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Handle Failures with Step-Up and Retries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Use Step-Up to Manual Inspection for poor-quality images.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Set Government ID and Selfie Retry Attempts (0–3) to allow corrections.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Train on regional documents by selecting providers like Mitek or Veriff.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18">
        <w:r w:rsidDel="00000000" w:rsidR="00000000" w:rsidRPr="00000000">
          <w:rPr>
            <w:u w:val="single"/>
            <w:rtl w:val="0"/>
          </w:rPr>
          <w:t xml:space="preserve">Government ID Settings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Enable AAMVA for US IDs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Toggle AAMVA to verify against Driver’s License Data Verification service.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Fail expired IDs to maintain accuracy.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19">
        <w:r w:rsidDel="00000000" w:rsidR="00000000" w:rsidRPr="00000000">
          <w:rPr>
            <w:u w:val="single"/>
            <w:rtl w:val="0"/>
          </w:rPr>
          <w:t xml:space="preserve">PingOne Verify and AAMVA DLDV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Checklist: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Thresholds tuned for balance.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Retries and step-up enabled.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Regional document support configured.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types, see</w:t>
      </w:r>
      <w:hyperlink r:id="rId20">
        <w:r w:rsidDel="00000000" w:rsidR="00000000" w:rsidRPr="00000000">
          <w:rPr>
            <w:rtl w:val="0"/>
          </w:rPr>
          <w:t xml:space="preserve"> </w:t>
        </w:r>
      </w:hyperlink>
      <w:hyperlink r:id="rId21">
        <w:r w:rsidDel="00000000" w:rsidR="00000000" w:rsidRPr="00000000">
          <w:rPr>
            <w:u w:val="single"/>
            <w:rtl w:val="0"/>
          </w:rPr>
          <w:t xml:space="preserve">PingOne Verify Types of Verification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gh8rtvgs3gj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Compliance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Retain only necessary metadata and delete PII promptly. Detailed steps: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Manage Data Retention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B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PingOne automatically deletes PII after 30 minutes post-transaction; retain only verification status and metadata.</w:t>
      </w:r>
    </w:p>
    <w:p w:rsidR="00000000" w:rsidDel="00000000" w:rsidP="00000000" w:rsidRDefault="00000000" w:rsidRPr="00000000" w14:paraId="0000004C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Optionally store verified claims in the Identity Assurance (IDA) object (enable in Verify Policy).</w:t>
      </w:r>
    </w:p>
    <w:p w:rsidR="00000000" w:rsidDel="00000000" w:rsidP="00000000" w:rsidRDefault="00000000" w:rsidRPr="00000000" w14:paraId="0000004D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22">
        <w:r w:rsidDel="00000000" w:rsidR="00000000" w:rsidRPr="00000000">
          <w:rPr>
            <w:u w:val="single"/>
            <w:rtl w:val="0"/>
          </w:rPr>
          <w:t xml:space="preserve">A Note on Extracted Data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Ensure Consent and Obligations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For Data-Based Verification, check Required Contractual Obligation to confirm user consent.</w:t>
      </w:r>
    </w:p>
    <w:p w:rsidR="00000000" w:rsidDel="00000000" w:rsidP="00000000" w:rsidRDefault="00000000" w:rsidRPr="00000000" w14:paraId="0000005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Use for KYC/AML by providing auditable proof.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Audit and Reporting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Maintain logs for 90 days (user events) and 2 years (dashboard data).</w:t>
      </w:r>
    </w:p>
    <w:p w:rsidR="00000000" w:rsidDel="00000000" w:rsidP="00000000" w:rsidRDefault="00000000" w:rsidRPr="00000000" w14:paraId="00000053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23">
        <w:r w:rsidDel="00000000" w:rsidR="00000000" w:rsidRPr="00000000">
          <w:rPr>
            <w:u w:val="single"/>
            <w:rtl w:val="0"/>
          </w:rPr>
          <w:t xml:space="preserve">Security and Compliance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Checklist:</w:t>
      </w:r>
    </w:p>
    <w:p w:rsidR="00000000" w:rsidDel="00000000" w:rsidP="00000000" w:rsidRDefault="00000000" w:rsidRPr="00000000" w14:paraId="00000055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PII deletion configured.</w:t>
      </w:r>
    </w:p>
    <w:p w:rsidR="00000000" w:rsidDel="00000000" w:rsidP="00000000" w:rsidRDefault="00000000" w:rsidRPr="00000000" w14:paraId="0000005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Verified claims storage optional.</w:t>
      </w:r>
    </w:p>
    <w:p w:rsidR="00000000" w:rsidDel="00000000" w:rsidP="00000000" w:rsidRDefault="00000000" w:rsidRPr="00000000" w14:paraId="00000057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Consent checkboxes enabled.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details, see</w:t>
      </w:r>
      <w:hyperlink r:id="rId24">
        <w:r w:rsidDel="00000000" w:rsidR="00000000" w:rsidRPr="00000000">
          <w:rPr>
            <w:rtl w:val="0"/>
          </w:rPr>
          <w:t xml:space="preserve"> </w:t>
        </w:r>
      </w:hyperlink>
      <w:hyperlink r:id="rId25">
        <w:r w:rsidDel="00000000" w:rsidR="00000000" w:rsidRPr="00000000">
          <w:rPr>
            <w:u w:val="single"/>
            <w:rtl w:val="0"/>
          </w:rPr>
          <w:t xml:space="preserve">PingOne Verify and Identity Assurance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nys17shfbkq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Security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enhance security, follow the principle of least privilege, enable multi-factor authentication (MFA), and use strong encryption. Detailed steps: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Assign Administrative Roles with Least Privilege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In the PingOne admin console, review and assign roles only to the extent necessary for job functions (e.g., limit access to Verify Policies or Audit logs).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Conduct regular reviews of administrative access to detect and remove unnecessary privileges, reducing risks from compromised accounts.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26">
        <w:r w:rsidDel="00000000" w:rsidR="00000000" w:rsidRPr="00000000">
          <w:rPr>
            <w:u w:val="single"/>
            <w:rtl w:val="0"/>
          </w:rPr>
          <w:t xml:space="preserve">Administrative Role Assignment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Enable MFA for Users and Admins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Configure MFA in Setup &gt; Authentication Policy, requiring at least two verification methods (e.g., password + OTP via email, biometrics, or PingID app).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For Verify transactions, integrate MFA device creation during phone or email verification.</w:t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27">
        <w:r w:rsidDel="00000000" w:rsidR="00000000" w:rsidRPr="00000000">
          <w:rPr>
            <w:u w:val="single"/>
            <w:rtl w:val="0"/>
          </w:rPr>
          <w:t xml:space="preserve">Multi-Factor Authentication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Use 256-Bit Encryption and Secure Algorithms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Ensure SAML assertions use at least 256-bit signing algorithms (default in PingOne). Increase complexity for sensitive applications.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Encrypt data at rest and in transit; coordinate with service providers like Mitek or Veriff for document authentication.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28">
        <w:r w:rsidDel="00000000" w:rsidR="00000000" w:rsidRPr="00000000">
          <w:rPr>
            <w:u w:val="single"/>
            <w:rtl w:val="0"/>
          </w:rPr>
          <w:t xml:space="preserve">Signing Algorithm Selection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Additional Security Measures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Set session lifetimes and idle timeouts based on application sensitivity (e.g., shorter for high-risk Verify flows).</w:t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29">
        <w:r w:rsidDel="00000000" w:rsidR="00000000" w:rsidRPr="00000000">
          <w:rPr>
            <w:u w:val="single"/>
            <w:rtl w:val="0"/>
          </w:rPr>
          <w:t xml:space="preserve">Session Lifetime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Checklist: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Roles assigned per least privilege.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MFA enabled for all users.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256-bit encryption in use.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overall security, see</w:t>
      </w:r>
      <w:hyperlink r:id="rId30">
        <w:r w:rsidDel="00000000" w:rsidR="00000000" w:rsidRPr="00000000">
          <w:rPr>
            <w:rtl w:val="0"/>
          </w:rPr>
          <w:t xml:space="preserve"> </w:t>
        </w:r>
      </w:hyperlink>
      <w:hyperlink r:id="rId31">
        <w:r w:rsidDel="00000000" w:rsidR="00000000" w:rsidRPr="00000000">
          <w:rPr>
            <w:u w:val="single"/>
            <w:rtl w:val="0"/>
          </w:rPr>
          <w:t xml:space="preserve">PingOne for Enterprise Security Best Practices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jgajtiebil5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Monitoring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Regularly audit logs and set alerts for quotas. Detailed steps: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Audit Logs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In PingOne admin console, go to Monitoring &gt; Audit. Set Time Range (max 14 days), filter by Event Type "Verify".</w:t>
      </w:r>
    </w:p>
    <w:p w:rsidR="00000000" w:rsidDel="00000000" w:rsidP="00000000" w:rsidRDefault="00000000" w:rsidRPr="00000000" w14:paraId="0000007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View details via API (Verified Data and Verification Metadata endpoints).</w:t>
      </w:r>
    </w:p>
    <w:p w:rsidR="00000000" w:rsidDel="00000000" w:rsidP="00000000" w:rsidRDefault="00000000" w:rsidRPr="00000000" w14:paraId="0000007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32">
        <w:r w:rsidDel="00000000" w:rsidR="00000000" w:rsidRPr="00000000">
          <w:rPr>
            <w:u w:val="single"/>
            <w:rtl w:val="0"/>
          </w:rPr>
          <w:t xml:space="preserve">Audit Parameters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Dashboard Monitoring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Use Identity Verification Dashboard to track transaction activity.</w:t>
      </w:r>
    </w:p>
    <w:p w:rsidR="00000000" w:rsidDel="00000000" w:rsidP="00000000" w:rsidRDefault="00000000" w:rsidRPr="00000000" w14:paraId="0000007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Set up Webhooks for real-time event notifications.</w:t>
      </w:r>
    </w:p>
    <w:p w:rsidR="00000000" w:rsidDel="00000000" w:rsidP="00000000" w:rsidRDefault="00000000" w:rsidRPr="00000000" w14:paraId="0000007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33">
        <w:r w:rsidDel="00000000" w:rsidR="00000000" w:rsidRPr="00000000">
          <w:rPr>
            <w:u w:val="single"/>
            <w:rtl w:val="0"/>
          </w:rPr>
          <w:t xml:space="preserve">Identity Verification Dashboard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Quota Alerts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View license info and quotas in admin console; set alerts for thresholds.</w:t>
      </w:r>
    </w:p>
    <w:p w:rsidR="00000000" w:rsidDel="00000000" w:rsidP="00000000" w:rsidRDefault="00000000" w:rsidRPr="00000000" w14:paraId="0000007C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34">
        <w:r w:rsidDel="00000000" w:rsidR="00000000" w:rsidRPr="00000000">
          <w:rPr>
            <w:u w:val="single"/>
            <w:rtl w:val="0"/>
          </w:rPr>
          <w:t xml:space="preserve">Viewing License Information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Checklist: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Regular log audits scheduled.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Webhooks for alerts.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Quota monitoring enabled.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logging, see</w:t>
      </w:r>
      <w:hyperlink r:id="rId35">
        <w:r w:rsidDel="00000000" w:rsidR="00000000" w:rsidRPr="00000000">
          <w:rPr>
            <w:rtl w:val="0"/>
          </w:rPr>
          <w:t xml:space="preserve"> </w:t>
        </w:r>
      </w:hyperlink>
      <w:hyperlink r:id="rId36">
        <w:r w:rsidDel="00000000" w:rsidR="00000000" w:rsidRPr="00000000">
          <w:rPr>
            <w:u w:val="single"/>
            <w:rtl w:val="0"/>
          </w:rPr>
          <w:t xml:space="preserve">PingOne Platform Logging and Reporting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qwh9cdakx9u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User Experience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Minimize friction with seamless QR code and mobile flows. Detailed steps:</w:t>
      </w:r>
    </w:p>
    <w:p w:rsidR="00000000" w:rsidDel="00000000" w:rsidP="00000000" w:rsidRDefault="00000000" w:rsidRPr="00000000" w14:paraId="00000084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Configure Timeouts and Retries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85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Set Data Collection Timeout (15–30 minutes) and Retry Attempts (0–3) to avoid frustration.</w:t>
      </w:r>
    </w:p>
    <w:p w:rsidR="00000000" w:rsidDel="00000000" w:rsidP="00000000" w:rsidRDefault="00000000" w:rsidRPr="00000000" w14:paraId="00000086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Use Optional for non-essential verifications (e.g., Liveness in low-risk).</w:t>
      </w:r>
    </w:p>
    <w:p w:rsidR="00000000" w:rsidDel="00000000" w:rsidP="00000000" w:rsidRDefault="00000000" w:rsidRPr="00000000" w14:paraId="0000008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Branding and Localization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88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Create themes for verification pages.</w:t>
      </w:r>
    </w:p>
    <w:p w:rsidR="00000000" w:rsidDel="00000000" w:rsidP="00000000" w:rsidRDefault="00000000" w:rsidRPr="00000000" w14:paraId="00000089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Enable language localization for user-preferred languages.</w:t>
      </w:r>
    </w:p>
    <w:p w:rsidR="00000000" w:rsidDel="00000000" w:rsidP="00000000" w:rsidRDefault="00000000" w:rsidRPr="00000000" w14:paraId="0000008A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37">
        <w:r w:rsidDel="00000000" w:rsidR="00000000" w:rsidRPr="00000000">
          <w:rPr>
            <w:u w:val="single"/>
            <w:rtl w:val="0"/>
          </w:rPr>
          <w:t xml:space="preserve">Branding and Themes</w:t>
        </w:r>
      </w:hyperlink>
      <w:r w:rsidDel="00000000" w:rsidR="00000000" w:rsidRPr="00000000">
        <w:rPr>
          <w:rtl w:val="0"/>
        </w:rPr>
        <w:t xml:space="preserve">; </w:t>
      </w:r>
      <w:hyperlink r:id="rId38">
        <w:r w:rsidDel="00000000" w:rsidR="00000000" w:rsidRPr="00000000">
          <w:rPr>
            <w:u w:val="single"/>
            <w:rtl w:val="0"/>
          </w:rPr>
          <w:t xml:space="preserve">Configuring Language Localization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Seamless Flows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8C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Use QR codes for mobile web/browser integration; support SDK for apps.</w:t>
      </w:r>
    </w:p>
    <w:p w:rsidR="00000000" w:rsidDel="00000000" w:rsidP="00000000" w:rsidRDefault="00000000" w:rsidRPr="00000000" w14:paraId="0000008D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Automate flows to complete in seconds.</w:t>
      </w:r>
    </w:p>
    <w:p w:rsidR="00000000" w:rsidDel="00000000" w:rsidP="00000000" w:rsidRDefault="00000000" w:rsidRPr="00000000" w14:paraId="0000008E">
      <w:pPr>
        <w:numPr>
          <w:ilvl w:val="1"/>
          <w:numId w:val="13"/>
        </w:numPr>
        <w:spacing w:after="24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Reference: </w:t>
      </w:r>
      <w:hyperlink r:id="rId39">
        <w:r w:rsidDel="00000000" w:rsidR="00000000" w:rsidRPr="00000000">
          <w:rPr>
            <w:u w:val="single"/>
            <w:rtl w:val="0"/>
          </w:rPr>
          <w:t xml:space="preserve">Verification Flow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Checklist: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Timeouts and retries optimized.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Branding applied.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QR/mobile flows tested.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UX tips, see</w:t>
      </w:r>
      <w:hyperlink r:id="rId40">
        <w:r w:rsidDel="00000000" w:rsidR="00000000" w:rsidRPr="00000000">
          <w:rPr>
            <w:rtl w:val="0"/>
          </w:rPr>
          <w:t xml:space="preserve"> </w:t>
        </w:r>
      </w:hyperlink>
      <w:hyperlink r:id="rId41">
        <w:r w:rsidDel="00000000" w:rsidR="00000000" w:rsidRPr="00000000">
          <w:rPr>
            <w:u w:val="single"/>
            <w:rtl w:val="0"/>
          </w:rPr>
          <w:t xml:space="preserve">Best Practices for PingOne Protect</w:t>
        </w:r>
      </w:hyperlink>
      <w:r w:rsidDel="00000000" w:rsidR="00000000" w:rsidRPr="00000000">
        <w:rPr>
          <w:rtl w:val="0"/>
        </w:rPr>
        <w:t xml:space="preserve"> (applicable to Verify flows).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ocs.pingidentity.com/pingone/threat_protection_using_pingone_protect/p1_protect_best_practices.html" TargetMode="External"/><Relationship Id="rId20" Type="http://schemas.openxmlformats.org/officeDocument/2006/relationships/hyperlink" Target="https://docs.pingidentity.com/pingone/identity_verification_using_pingone_verify/p1_verify_types_of_verification.html" TargetMode="External"/><Relationship Id="rId41" Type="http://schemas.openxmlformats.org/officeDocument/2006/relationships/hyperlink" Target="https://docs.pingidentity.com/pingone/threat_protection_using_pingone_protect/p1_protect_best_practices.html" TargetMode="External"/><Relationship Id="rId22" Type="http://schemas.openxmlformats.org/officeDocument/2006/relationships/hyperlink" Target="https://developer.pingidentity.com/pingone-api/verify/verified-data.html#verified-data-a-note-on-extracted-data" TargetMode="External"/><Relationship Id="rId21" Type="http://schemas.openxmlformats.org/officeDocument/2006/relationships/hyperlink" Target="https://docs.pingidentity.com/pingone/identity_verification_using_pingone_verify/p1_verify_types_of_verification.html" TargetMode="External"/><Relationship Id="rId24" Type="http://schemas.openxmlformats.org/officeDocument/2006/relationships/hyperlink" Target="https://docs.pingidentity.com/pingone/identity_verification_using_pingone_verify/p1_verify_ida.html" TargetMode="External"/><Relationship Id="rId23" Type="http://schemas.openxmlformats.org/officeDocument/2006/relationships/hyperlink" Target="https://docs.pingidentity.com/pingoneaic/product-information/security-compliance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pingidentity.com/pingone/identity_verification_using_pingone_verify/p1_verify_creating_verify_policy.html" TargetMode="External"/><Relationship Id="rId26" Type="http://schemas.openxmlformats.org/officeDocument/2006/relationships/hyperlink" Target="https://docs.pingidentity.com/pingoneforenterprise/pingone_for_enterprise/p14e_security_best_practices.html#administrative-role-assignment" TargetMode="External"/><Relationship Id="rId25" Type="http://schemas.openxmlformats.org/officeDocument/2006/relationships/hyperlink" Target="https://docs.pingidentity.com/pingone/identity_verification_using_pingone_verify/p1_verify_ida.html" TargetMode="External"/><Relationship Id="rId28" Type="http://schemas.openxmlformats.org/officeDocument/2006/relationships/hyperlink" Target="https://docs.pingidentity.com/pingoneforenterprise/pingone_for_enterprise/p14e_security_best_practices.html#signing-algorithm-selection" TargetMode="External"/><Relationship Id="rId27" Type="http://schemas.openxmlformats.org/officeDocument/2006/relationships/hyperlink" Target="https://docs.pingidentity.com/pingoneforenterprise/pingone_for_enterprise/p14e_security_best_practices.html#multi-factor-authentication-mfa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pingidentity.com/pingone/identity_verification_using_pingone_verify/p1_verify_introduction.html" TargetMode="External"/><Relationship Id="rId29" Type="http://schemas.openxmlformats.org/officeDocument/2006/relationships/hyperlink" Target="https://docs.pingidentity.com/pingoneforenterprise/pingone_for_enterprise/p14e_security_best_practices.html#session-lifetime" TargetMode="External"/><Relationship Id="rId7" Type="http://schemas.openxmlformats.org/officeDocument/2006/relationships/hyperlink" Target="https://docs.pingidentity.com/pingone/identity_verification_using_pingone_verify/p1_verify_introduction.html" TargetMode="External"/><Relationship Id="rId8" Type="http://schemas.openxmlformats.org/officeDocument/2006/relationships/hyperlink" Target="https://docs.pingidentity.com/pingone/tutorials/p1_start_a_trial_tutorial_basic_passwordless.html" TargetMode="External"/><Relationship Id="rId31" Type="http://schemas.openxmlformats.org/officeDocument/2006/relationships/hyperlink" Target="https://docs.pingidentity.com/pingoneforenterprise/pingone_for_enterprise/p14e_security_best_practices.html" TargetMode="External"/><Relationship Id="rId30" Type="http://schemas.openxmlformats.org/officeDocument/2006/relationships/hyperlink" Target="https://docs.pingidentity.com/pingoneforenterprise/pingone_for_enterprise/p14e_security_best_practices.html" TargetMode="External"/><Relationship Id="rId11" Type="http://schemas.openxmlformats.org/officeDocument/2006/relationships/hyperlink" Target="https://docs.pingidentity.com/pingone/identity_verification_using_pingone_verify/p1_getting_started_with_p1_verify.html" TargetMode="External"/><Relationship Id="rId33" Type="http://schemas.openxmlformats.org/officeDocument/2006/relationships/hyperlink" Target="https://docs.pingidentity.com/pingone/identity_verification_using_pingone_verify/p1_identity_verification_dashboard.html" TargetMode="External"/><Relationship Id="rId10" Type="http://schemas.openxmlformats.org/officeDocument/2006/relationships/hyperlink" Target="https://docs.pingidentity.com/pingone/identity_verification_using_pingone_verify/p1_getting_started_with_p1_verify.html" TargetMode="External"/><Relationship Id="rId32" Type="http://schemas.openxmlformats.org/officeDocument/2006/relationships/hyperlink" Target="https://docs.pingidentity.com/pingone/monitoring/p1_auditparameters.html" TargetMode="External"/><Relationship Id="rId13" Type="http://schemas.openxmlformats.org/officeDocument/2006/relationships/hyperlink" Target="https://docs.pingidentity.com/pingone/identity_verification_using_pingone_verify/p1_verify_types_of_verification.html" TargetMode="External"/><Relationship Id="rId35" Type="http://schemas.openxmlformats.org/officeDocument/2006/relationships/hyperlink" Target="https://docs.pingidentity.com/pingone/getting_started_with_pingone/p1_logging_reporting_overview.html" TargetMode="External"/><Relationship Id="rId12" Type="http://schemas.openxmlformats.org/officeDocument/2006/relationships/hyperlink" Target="https://docs.pingidentity.com/pingone/identity_verification_using_pingone_verify/p1_verify_data_based_verification.html" TargetMode="External"/><Relationship Id="rId34" Type="http://schemas.openxmlformats.org/officeDocument/2006/relationships/hyperlink" Target="https://docs.pingidentity.com/pingone/identity_verification_using_pingone_verify/p1_verify_view_license_info.html" TargetMode="External"/><Relationship Id="rId15" Type="http://schemas.openxmlformats.org/officeDocument/2006/relationships/hyperlink" Target="https://docs.pingidentity.com/pingoneaic/integrations/pingone-verify.html" TargetMode="External"/><Relationship Id="rId37" Type="http://schemas.openxmlformats.org/officeDocument/2006/relationships/hyperlink" Target="https://docs.pingidentity.com/pingone/user_experience/p1_branding_themes.html" TargetMode="External"/><Relationship Id="rId14" Type="http://schemas.openxmlformats.org/officeDocument/2006/relationships/hyperlink" Target="https://docs.pingidentity.com/pingone/identity_verification_using_pingone_verify/p1_verify_introduction.html#pingone-verify-transaction-flow" TargetMode="External"/><Relationship Id="rId36" Type="http://schemas.openxmlformats.org/officeDocument/2006/relationships/hyperlink" Target="https://docs.pingidentity.com/pingone/getting_started_with_pingone/p1_logging_reporting_overview.html" TargetMode="External"/><Relationship Id="rId17" Type="http://schemas.openxmlformats.org/officeDocument/2006/relationships/hyperlink" Target="https://docs.pingidentity.com/pingone/identity_verification_using_pingone_verify/p1_verify_creating_verify_policy.html" TargetMode="External"/><Relationship Id="rId39" Type="http://schemas.openxmlformats.org/officeDocument/2006/relationships/hyperlink" Target="https://docs.pingidentity.com/pingone/identity_verification_using_pingone_verify/p1_verify_introduction.html#verification-flow" TargetMode="External"/><Relationship Id="rId16" Type="http://schemas.openxmlformats.org/officeDocument/2006/relationships/hyperlink" Target="https://docs.pingidentity.com/pingone/identity_verification_using_pingone_verify/p1_verify_creating_verify_policy.html" TargetMode="External"/><Relationship Id="rId38" Type="http://schemas.openxmlformats.org/officeDocument/2006/relationships/hyperlink" Target="https://docs.pingidentity.com/pingone/identity_verification_using_pingone_verify/p1_verify_language_localization.html" TargetMode="External"/><Relationship Id="rId19" Type="http://schemas.openxmlformats.org/officeDocument/2006/relationships/hyperlink" Target="https://docs.pingidentity.com/pingone/identity_verification_using_pingone_verify/p1_verify_aamva_dldv.html" TargetMode="External"/><Relationship Id="rId18" Type="http://schemas.openxmlformats.org/officeDocument/2006/relationships/hyperlink" Target="https://docs.pingidentity.com/pingone/identity_verification_using_pingone_verify/p1_verify_creating_verify_policy.html#government-id-sett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